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99"/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812"/>
      </w:tblGrid>
      <w:tr w:rsidR="00EF2232" w:rsidRPr="00EF2232" w:rsidTr="00E973EA">
        <w:trPr>
          <w:jc w:val="center"/>
        </w:trPr>
        <w:tc>
          <w:tcPr>
            <w:tcW w:w="35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32" w:rsidRPr="00EF2232" w:rsidRDefault="00EF2232" w:rsidP="00EF2232">
            <w:pPr>
              <w:tabs>
                <w:tab w:val="left" w:pos="3261"/>
              </w:tabs>
              <w:rPr>
                <w:rFonts w:ascii="Arial" w:eastAsia="Arial" w:hAnsi="Arial"/>
                <w:kern w:val="0"/>
                <w:szCs w:val="22"/>
                <w:lang w:eastAsia="en-US" w:bidi="ar-SA"/>
              </w:rPr>
            </w:pPr>
          </w:p>
          <w:p w:rsidR="00EF2232" w:rsidRPr="00EF2232" w:rsidRDefault="00EF2232" w:rsidP="00EF2232">
            <w:pPr>
              <w:tabs>
                <w:tab w:val="left" w:pos="3261"/>
              </w:tabs>
              <w:rPr>
                <w:rFonts w:ascii="Arial" w:eastAsia="Arial" w:hAnsi="Arial"/>
                <w:kern w:val="0"/>
                <w:szCs w:val="22"/>
                <w:lang w:eastAsia="en-US" w:bidi="ar-SA"/>
              </w:rPr>
            </w:pPr>
          </w:p>
          <w:p w:rsidR="00EF2232" w:rsidRPr="00EF2232" w:rsidRDefault="00EF2232" w:rsidP="00EF2232">
            <w:pPr>
              <w:tabs>
                <w:tab w:val="left" w:pos="3261"/>
              </w:tabs>
              <w:rPr>
                <w:rFonts w:ascii="Arial" w:eastAsia="Arial" w:hAnsi="Arial"/>
                <w:kern w:val="0"/>
                <w:szCs w:val="22"/>
                <w:lang w:eastAsia="en-US" w:bidi="ar-SA"/>
              </w:rPr>
            </w:pPr>
          </w:p>
          <w:p w:rsidR="00EF2232" w:rsidRPr="00EF2232" w:rsidRDefault="00EF2232" w:rsidP="00EF2232">
            <w:pPr>
              <w:tabs>
                <w:tab w:val="left" w:pos="3261"/>
              </w:tabs>
              <w:rPr>
                <w:rFonts w:ascii="Arial" w:eastAsia="Arial" w:hAnsi="Arial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Arial" w:hAnsi="Arial"/>
                <w:noProof/>
                <w:kern w:val="0"/>
                <w:szCs w:val="22"/>
                <w:lang w:eastAsia="ru-RU" w:bidi="ar-SA"/>
              </w:rPr>
              <w:drawing>
                <wp:inline distT="0" distB="0" distL="0" distR="0">
                  <wp:extent cx="14478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232" w:rsidRPr="00EF2232" w:rsidRDefault="00EF2232" w:rsidP="00EF2232">
            <w:pPr>
              <w:tabs>
                <w:tab w:val="left" w:pos="3261"/>
              </w:tabs>
              <w:rPr>
                <w:rFonts w:ascii="Arial" w:eastAsia="Arial" w:hAnsi="Arial"/>
                <w:i/>
                <w:iCs/>
                <w:color w:val="FF6600"/>
                <w:kern w:val="0"/>
                <w:sz w:val="18"/>
                <w:szCs w:val="18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i/>
                <w:iCs/>
                <w:color w:val="FFC000"/>
                <w:kern w:val="0"/>
                <w:sz w:val="44"/>
                <w:szCs w:val="44"/>
                <w:lang w:eastAsia="en-US" w:bidi="ar-SA"/>
              </w:rPr>
              <w:t>Трио Транс</w:t>
            </w:r>
            <w:r w:rsidRPr="00EF2232">
              <w:rPr>
                <w:rFonts w:ascii="Arial" w:eastAsia="Arial" w:hAnsi="Arial"/>
                <w:i/>
                <w:iCs/>
                <w:color w:val="FF6600"/>
                <w:kern w:val="0"/>
                <w:sz w:val="18"/>
                <w:szCs w:val="18"/>
                <w:lang w:eastAsia="en-US" w:bidi="ar-SA"/>
              </w:rPr>
              <w:tab/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Cs w:val="22"/>
                <w:lang w:eastAsia="en-US" w:bidi="ar-SA"/>
              </w:rPr>
            </w:pP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Cs w:val="22"/>
                <w:lang w:eastAsia="en-US" w:bidi="ar-SA"/>
              </w:rPr>
            </w:pP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Cs w:val="22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Cs w:val="22"/>
                <w:lang w:eastAsia="en-US" w:bidi="ar-SA"/>
              </w:rPr>
              <w:t>ООО «Трио Транс»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ИНН 7703544906 КПП 770301001, ОГРН 1057746421061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р</w:t>
            </w:r>
            <w:proofErr w:type="gramEnd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/с 40702810100060000024 в ОАО «ОТП Банк» г. Москва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р</w:t>
            </w:r>
            <w:proofErr w:type="gramEnd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/с 3010181000000000031125   БИК 044525311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123100 г. Москва, ул. </w:t>
            </w:r>
            <w:proofErr w:type="spellStart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Рочдельская</w:t>
            </w:r>
            <w:proofErr w:type="spellEnd"/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д.11/5, кв.76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+7(910)4183668; +7(929)5879395; +7(929)5879957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kern w:val="0"/>
                <w:szCs w:val="22"/>
                <w:lang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E</w:t>
            </w: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mail</w:t>
            </w: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6">
              <w:r w:rsidRPr="00EF2232">
                <w:rPr>
                  <w:rFonts w:ascii="Arial" w:eastAsia="Arial" w:hAnsi="Arial"/>
                  <w:b/>
                  <w:bCs/>
                  <w:i/>
                  <w:iCs/>
                  <w:kern w:val="0"/>
                  <w:sz w:val="20"/>
                  <w:szCs w:val="20"/>
                  <w:u w:val="single"/>
                  <w:lang w:val="en-US" w:eastAsia="en-US" w:bidi="ar-SA"/>
                </w:rPr>
                <w:t>triotrans</w:t>
              </w:r>
              <w:r w:rsidRPr="00EF2232">
                <w:rPr>
                  <w:rFonts w:ascii="Arial" w:eastAsia="Arial" w:hAnsi="Arial"/>
                  <w:b/>
                  <w:bCs/>
                  <w:i/>
                  <w:iCs/>
                  <w:kern w:val="0"/>
                  <w:sz w:val="20"/>
                  <w:szCs w:val="20"/>
                  <w:u w:val="single"/>
                  <w:lang w:eastAsia="en-US" w:bidi="ar-SA"/>
                </w:rPr>
                <w:t>@</w:t>
              </w:r>
              <w:r w:rsidRPr="00EF2232">
                <w:rPr>
                  <w:rFonts w:ascii="Arial" w:eastAsia="Arial" w:hAnsi="Arial"/>
                  <w:b/>
                  <w:bCs/>
                  <w:i/>
                  <w:iCs/>
                  <w:kern w:val="0"/>
                  <w:sz w:val="20"/>
                  <w:szCs w:val="20"/>
                  <w:u w:val="single"/>
                  <w:lang w:val="en-US" w:eastAsia="en-US" w:bidi="ar-SA"/>
                </w:rPr>
                <w:t>inbox</w:t>
              </w:r>
              <w:r w:rsidRPr="00EF2232">
                <w:rPr>
                  <w:rFonts w:ascii="Arial" w:eastAsia="Arial" w:hAnsi="Arial"/>
                  <w:b/>
                  <w:bCs/>
                  <w:i/>
                  <w:iCs/>
                  <w:kern w:val="0"/>
                  <w:sz w:val="20"/>
                  <w:szCs w:val="20"/>
                  <w:u w:val="single"/>
                  <w:lang w:eastAsia="en-US" w:bidi="ar-SA"/>
                </w:rPr>
                <w:t>.</w:t>
              </w:r>
              <w:proofErr w:type="spellStart"/>
              <w:r w:rsidRPr="00EF2232">
                <w:rPr>
                  <w:rFonts w:ascii="Arial" w:eastAsia="Arial" w:hAnsi="Arial"/>
                  <w:b/>
                  <w:bCs/>
                  <w:i/>
                  <w:iCs/>
                  <w:kern w:val="0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proofErr w:type="spellEnd"/>
            </w:hyperlink>
          </w:p>
          <w:p w:rsidR="00EF2232" w:rsidRPr="00EF2232" w:rsidRDefault="00EF2232" w:rsidP="00EF2232">
            <w:pPr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u w:val="single"/>
                <w:lang w:val="en-US" w:eastAsia="ru-RU" w:bidi="ar-SA"/>
              </w:rPr>
            </w:pP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Сайт</w:t>
            </w: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:</w:t>
            </w:r>
            <w:r w:rsidRPr="00EF2232">
              <w:rPr>
                <w:rFonts w:ascii="Arial" w:eastAsia="Arial" w:hAnsi="Arial"/>
                <w:b/>
                <w:bCs/>
                <w:i/>
                <w:iCs/>
                <w:kern w:val="0"/>
                <w:sz w:val="20"/>
                <w:szCs w:val="20"/>
                <w:u w:val="single"/>
                <w:lang w:val="en-US" w:eastAsia="en-US" w:bidi="ar-SA"/>
              </w:rPr>
              <w:t xml:space="preserve"> www.triotransmsk.com</w:t>
            </w:r>
          </w:p>
          <w:p w:rsidR="00EF2232" w:rsidRPr="00EF2232" w:rsidRDefault="00EF2232" w:rsidP="00EF2232">
            <w:pPr>
              <w:rPr>
                <w:rFonts w:ascii="Arial" w:eastAsia="Arial" w:hAnsi="Arial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</w:tbl>
    <w:p w:rsidR="00EF2232" w:rsidRPr="003841CB" w:rsidRDefault="00EF2232" w:rsidP="003841CB">
      <w:pPr>
        <w:rPr>
          <w:rFonts w:eastAsia="Times New Roman" w:cs="Times New Roman"/>
          <w:b/>
          <w:kern w:val="0"/>
          <w:lang w:eastAsia="ru-RU" w:bidi="ar-SA"/>
        </w:rPr>
      </w:pPr>
    </w:p>
    <w:p w:rsidR="003841CB" w:rsidRDefault="00EF2232" w:rsidP="003841CB">
      <w:pPr>
        <w:rPr>
          <w:rFonts w:eastAsia="Times New Roman" w:cs="Times New Roman"/>
          <w:b/>
          <w:kern w:val="0"/>
          <w:lang w:eastAsia="ru-RU" w:bidi="ar-SA"/>
        </w:rPr>
      </w:pPr>
      <w:r w:rsidRPr="00CF1EFD">
        <w:rPr>
          <w:rFonts w:eastAsia="Times New Roman" w:cs="Times New Roman"/>
          <w:b/>
          <w:kern w:val="0"/>
          <w:lang w:eastAsia="ru-RU" w:bidi="ar-SA"/>
        </w:rPr>
        <w:t xml:space="preserve">              </w:t>
      </w:r>
    </w:p>
    <w:p w:rsidR="00EF2232" w:rsidRPr="00EF2232" w:rsidRDefault="00EF2232" w:rsidP="003841CB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F2232">
        <w:rPr>
          <w:rFonts w:eastAsia="Times New Roman" w:cs="Times New Roman"/>
          <w:b/>
          <w:kern w:val="0"/>
          <w:lang w:eastAsia="ru-RU" w:bidi="ar-SA"/>
        </w:rPr>
        <w:t>Ставки на перевозки с НДС.</w:t>
      </w:r>
    </w:p>
    <w:p w:rsidR="00EF2232" w:rsidRPr="003841CB" w:rsidRDefault="00EF2232" w:rsidP="00EF2232">
      <w:pPr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841C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</w:t>
      </w:r>
    </w:p>
    <w:tbl>
      <w:tblPr>
        <w:tblW w:w="9638" w:type="dxa"/>
        <w:jc w:val="center"/>
        <w:tblLook w:val="0000" w:firstRow="0" w:lastRow="0" w:firstColumn="0" w:lastColumn="0" w:noHBand="0" w:noVBand="0"/>
      </w:tblPr>
      <w:tblGrid>
        <w:gridCol w:w="5786"/>
        <w:gridCol w:w="1916"/>
        <w:gridCol w:w="1936"/>
      </w:tblGrid>
      <w:tr w:rsidR="00EF2232" w:rsidRPr="003841CB" w:rsidTr="00E973EA">
        <w:trPr>
          <w:cantSplit/>
          <w:trHeight w:val="413"/>
          <w:jc w:val="center"/>
        </w:trPr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Наименование услуги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ТИП КОНТЕЙНЕРА</w:t>
            </w:r>
          </w:p>
        </w:tc>
      </w:tr>
      <w:tr w:rsidR="00EF2232" w:rsidRPr="003841CB" w:rsidTr="00E973EA">
        <w:trPr>
          <w:cantSplit/>
          <w:trHeight w:val="413"/>
          <w:jc w:val="center"/>
        </w:trPr>
        <w:tc>
          <w:tcPr>
            <w:tcW w:w="5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40,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40НС</w:t>
            </w:r>
          </w:p>
        </w:tc>
      </w:tr>
      <w:tr w:rsidR="00EF2232" w:rsidRPr="003841CB" w:rsidTr="00E973EA">
        <w:trPr>
          <w:cantSplit/>
          <w:trHeight w:val="413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Ставка (стоимость контейнеровоза в день при условии суммарного времени загрузки/разгрузки на основном и дополнительных складах не превышающего норматив загрузки – 4/5 час.</w:t>
            </w:r>
            <w:proofErr w:type="gramEnd"/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В пределах МКАД)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CF1EFD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77A83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  <w:r w:rsidR="008151AD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</w:tr>
      <w:tr w:rsidR="00EF2232" w:rsidRPr="003841CB" w:rsidTr="00E973EA">
        <w:trPr>
          <w:trHeight w:val="413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Норматив загрузки</w:t>
            </w:r>
          </w:p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(суммарное время загрузки/разгрузки на основном и дополнительных складах  ЗАКАЗЧИКА)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4 часа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 часа</w:t>
            </w:r>
          </w:p>
        </w:tc>
      </w:tr>
      <w:tr w:rsidR="00EF2232" w:rsidRPr="003841CB" w:rsidTr="00E973EA">
        <w:trPr>
          <w:trHeight w:val="413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Норматив времени на постановку/снятие контейнера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3 часа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3 часа</w:t>
            </w:r>
          </w:p>
        </w:tc>
      </w:tr>
      <w:tr w:rsidR="00EF2232" w:rsidRPr="003841CB" w:rsidTr="00E973EA">
        <w:trPr>
          <w:trHeight w:val="367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Простой на загрузке / выгрузке</w:t>
            </w:r>
          </w:p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(стоимость простоя на загрузке / выгрузке свыше 4/5час.)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12</w:t>
            </w:r>
            <w:r w:rsidR="00E62F1F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руб./час</w:t>
            </w:r>
          </w:p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12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руб./час</w:t>
            </w:r>
          </w:p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F2232" w:rsidRPr="003841CB" w:rsidTr="00E973EA">
        <w:trPr>
          <w:trHeight w:val="413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Оплата за МКАД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90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руб./</w:t>
            </w:r>
            <w:proofErr w:type="gramStart"/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км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90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руб./</w:t>
            </w:r>
            <w:proofErr w:type="gramStart"/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км</w:t>
            </w:r>
            <w:proofErr w:type="gramEnd"/>
          </w:p>
        </w:tc>
      </w:tr>
      <w:tr w:rsidR="00EF2232" w:rsidRPr="003841CB" w:rsidTr="00E973EA">
        <w:trPr>
          <w:trHeight w:val="693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Норматив загрузки контейнеров в тоннах нетто груза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21</w:t>
            </w:r>
          </w:p>
        </w:tc>
      </w:tr>
      <w:tr w:rsidR="00EF2232" w:rsidRPr="003841CB" w:rsidTr="00E973EA">
        <w:trPr>
          <w:trHeight w:val="541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Перегруз свыше норматива за каждую тонну (свыше 200 км за МКАД ставки обговариваются отдельно)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62F1F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62F1F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</w:tr>
      <w:tr w:rsidR="00EF2232" w:rsidRPr="003841CB" w:rsidTr="00E973EA">
        <w:trPr>
          <w:trHeight w:val="541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F2232" w:rsidP="00EF2232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Дополнительный адрес загрузки/выгрузки (договорная цена, в зависимости от адреса)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B53F77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По согласованию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B53F77" w:rsidRDefault="00B53F77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По согласованию</w:t>
            </w:r>
          </w:p>
        </w:tc>
      </w:tr>
      <w:tr w:rsidR="00EF2232" w:rsidRPr="003841CB" w:rsidTr="00E973EA">
        <w:trPr>
          <w:trHeight w:val="541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E77A83" w:rsidP="003841CB">
            <w:pPr>
              <w:suppressAutoHyphens/>
              <w:spacing w:after="20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Прогон транспорта без последующей загрузки в пределах МКАД</w:t>
            </w:r>
            <w:r w:rsidR="003841CB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. За МКАД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+ 90</w:t>
            </w:r>
            <w:r w:rsidR="003841CB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="003841CB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р</w:t>
            </w:r>
            <w:proofErr w:type="gramEnd"/>
            <w:r w:rsidR="003841CB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/км.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971579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  <w:r w:rsidR="00E77A83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32" w:rsidRPr="003841CB" w:rsidRDefault="00971579" w:rsidP="00EF2232">
            <w:pPr>
              <w:suppressAutoHyphens/>
              <w:spacing w:after="20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  <w:r w:rsidR="008151AD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="00EF2232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 руб.</w:t>
            </w:r>
          </w:p>
        </w:tc>
      </w:tr>
      <w:tr w:rsidR="003841CB" w:rsidRPr="003841CB" w:rsidTr="00E973EA">
        <w:trPr>
          <w:trHeight w:val="541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CB" w:rsidRPr="003841CB" w:rsidRDefault="003841CB" w:rsidP="000C157D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Отказ от заранее заказанного транспорта после 15 часов</w:t>
            </w:r>
            <w:r w:rsidR="003E733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0C157D" w:rsidRPr="000C157D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дня </w:t>
            </w:r>
            <w:r w:rsidR="003E733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(Московского времени)</w:t>
            </w:r>
            <w:r w:rsidR="000C157D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,</w:t>
            </w:r>
            <w:r w:rsidR="003E733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предшествующего дню загрузки.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CB" w:rsidRPr="003841CB" w:rsidRDefault="003841CB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12000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CB" w:rsidRPr="003841CB" w:rsidRDefault="003841CB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12000 руб.</w:t>
            </w:r>
          </w:p>
        </w:tc>
      </w:tr>
      <w:tr w:rsidR="00E77A83" w:rsidRPr="003841CB" w:rsidTr="00E973EA">
        <w:trPr>
          <w:trHeight w:val="541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83" w:rsidRPr="003841CB" w:rsidRDefault="003841CB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Экспедирование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83" w:rsidRPr="003841CB" w:rsidRDefault="003841CB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  <w:r w:rsidR="00B53F77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83" w:rsidRPr="003841CB" w:rsidRDefault="00B53F77" w:rsidP="00EF2232">
            <w:pPr>
              <w:suppressAutoHyphens/>
              <w:spacing w:after="200"/>
              <w:jc w:val="center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75</w:t>
            </w:r>
            <w:r w:rsidR="003841CB" w:rsidRPr="003841CB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  <w:lang w:eastAsia="en-US" w:bidi="ar-SA"/>
              </w:rPr>
              <w:t>00 руб.</w:t>
            </w:r>
          </w:p>
        </w:tc>
      </w:tr>
    </w:tbl>
    <w:p w:rsidR="004E1464" w:rsidRPr="00971579" w:rsidRDefault="004E1464" w:rsidP="00EF2232">
      <w:bookmarkStart w:id="0" w:name="_GoBack"/>
      <w:bookmarkEnd w:id="0"/>
    </w:p>
    <w:sectPr w:rsidR="004E1464" w:rsidRPr="0097157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4"/>
    <w:rsid w:val="000C157D"/>
    <w:rsid w:val="00104528"/>
    <w:rsid w:val="003841CB"/>
    <w:rsid w:val="003E7337"/>
    <w:rsid w:val="004E1464"/>
    <w:rsid w:val="008151AD"/>
    <w:rsid w:val="009541FB"/>
    <w:rsid w:val="00971579"/>
    <w:rsid w:val="00B53F77"/>
    <w:rsid w:val="00C64A56"/>
    <w:rsid w:val="00CF1EFD"/>
    <w:rsid w:val="00E62F1F"/>
    <w:rsid w:val="00E77A83"/>
    <w:rsid w:val="00E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F223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F223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F223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F223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otrans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21</cp:revision>
  <dcterms:created xsi:type="dcterms:W3CDTF">2020-09-10T11:58:00Z</dcterms:created>
  <dcterms:modified xsi:type="dcterms:W3CDTF">2021-03-11T12:49:00Z</dcterms:modified>
  <dc:language>ru-RU</dc:language>
</cp:coreProperties>
</file>